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3B6E1F18" w:rsidR="00B77CE9" w:rsidRPr="006937F4" w:rsidRDefault="006937F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Національна економіка 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55D0556C" w:rsidR="009C582A" w:rsidRPr="004F0683" w:rsidRDefault="00DD7631" w:rsidP="001B3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B38FB">
              <w:rPr>
                <w:rFonts w:ascii="Times New Roman" w:hAnsi="Times New Roman" w:cs="Times New Roman"/>
                <w:b/>
                <w:sz w:val="24"/>
                <w:szCs w:val="24"/>
              </w:rPr>
              <w:t>Маркетинг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6195A66C" w:rsidR="00EC3CA9" w:rsidRPr="006937F4" w:rsidRDefault="00DE2D86" w:rsidP="006937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Pr="006148BF">
              <w:rPr>
                <w:rFonts w:ascii="Times New Roman" w:hAnsi="Times New Roman"/>
                <w:sz w:val="24"/>
                <w:szCs w:val="24"/>
              </w:rPr>
              <w:t>V</w:t>
            </w:r>
            <w:r w:rsidR="001B38FB">
              <w:rPr>
                <w:rFonts w:ascii="Times New Roman" w:hAnsi="Times New Roman"/>
                <w:sz w:val="24"/>
                <w:szCs w:val="24"/>
              </w:rPr>
              <w:t>І</w:t>
            </w:r>
            <w:bookmarkStart w:id="0" w:name="_GoBack"/>
            <w:bookmarkEnd w:id="0"/>
            <w:r w:rsidRPr="006148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B56EF" w:rsidRPr="00D11FFA" w14:paraId="1F4F206D" w14:textId="77777777" w:rsidTr="00AC3DD8">
        <w:tc>
          <w:tcPr>
            <w:tcW w:w="3936" w:type="dxa"/>
          </w:tcPr>
          <w:p w14:paraId="3300E9FF" w14:textId="02ECDDA3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="009C5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237" w:type="dxa"/>
          </w:tcPr>
          <w:p w14:paraId="1F68B121" w14:textId="6F67BE9F" w:rsidR="00EC3CA9" w:rsidRDefault="004F0683" w:rsidP="004F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теорія, Мікроекономіка, Макроекономіка</w:t>
            </w:r>
          </w:p>
          <w:p w14:paraId="451DB254" w14:textId="49C11D45" w:rsidR="00EC3CA9" w:rsidRPr="00EC3CA9" w:rsidRDefault="00EC3CA9" w:rsidP="004F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691EE78" w14:textId="472E5C15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 xml:space="preserve">Національна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економіка: зміст та основи руху.</w:t>
            </w:r>
          </w:p>
          <w:p w14:paraId="302BC3F9" w14:textId="588F77E8"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Історичні аспекти формування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4794E2" w14:textId="7C0E18FD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Економічний потенціал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9E450A" w14:textId="12F7EDCE"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Мікрорівень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CE57A5" w14:textId="4C6AA83D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Мезорівень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0522A4" w14:textId="32C5130A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Суспільне відтворення та макроекономічна рівновага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0ED547" w14:textId="43E19DEB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Регулювання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4F7171" w14:textId="4D78292B" w:rsidR="00DB56EF" w:rsidRDefault="00DB56E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Економічні імперативи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6EA255" w14:textId="15D03BDA" w:rsidR="006937F4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Соціальні пріори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тети національної економіки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CD3A28" w14:textId="7094DCE1"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10. Структурна та інвестиційно-інноваційна політика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F5B258" w14:textId="19EA96E8"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11.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Особливості грошово-кредитної та фінансової системи національної економіки.</w:t>
            </w:r>
          </w:p>
          <w:p w14:paraId="7118ED9D" w14:textId="57ABFCCD" w:rsidR="00D94C8E" w:rsidRPr="00D11FFA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Національна економіка в умовах економічної глобалізації. 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6AC8FB87" w:rsidR="00D94C8E" w:rsidRPr="00EC3CA9" w:rsidRDefault="00D94C8E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Розкриття місця національної економіки у світовому господарстві та питань, пов’язаних з міжнародною конкурентоспроможністю  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1B38FB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E09FF"/>
    <w:rsid w:val="00185C9D"/>
    <w:rsid w:val="001B38FB"/>
    <w:rsid w:val="00441317"/>
    <w:rsid w:val="004D35F5"/>
    <w:rsid w:val="004F0683"/>
    <w:rsid w:val="00597567"/>
    <w:rsid w:val="006937F4"/>
    <w:rsid w:val="007C0753"/>
    <w:rsid w:val="0080044C"/>
    <w:rsid w:val="00871EB3"/>
    <w:rsid w:val="009C582A"/>
    <w:rsid w:val="00A1498E"/>
    <w:rsid w:val="00AC3DD8"/>
    <w:rsid w:val="00B61B3C"/>
    <w:rsid w:val="00B77CE9"/>
    <w:rsid w:val="00D11FFA"/>
    <w:rsid w:val="00D94C8E"/>
    <w:rsid w:val="00DB40D3"/>
    <w:rsid w:val="00DB56EF"/>
    <w:rsid w:val="00DD7631"/>
    <w:rsid w:val="00DE2D86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1013</Characters>
  <Application>Microsoft Macintosh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George Kovbatyuk</cp:lastModifiedBy>
  <cp:revision>2</cp:revision>
  <dcterms:created xsi:type="dcterms:W3CDTF">2022-04-22T16:58:00Z</dcterms:created>
  <dcterms:modified xsi:type="dcterms:W3CDTF">2022-04-22T16:58:00Z</dcterms:modified>
</cp:coreProperties>
</file>